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3468A" w14:textId="77777777" w:rsidR="00B75912" w:rsidRPr="00E67A76" w:rsidRDefault="008143E7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lang w:val="tr-TR"/>
        </w:rPr>
      </w:pPr>
      <w:r w:rsidRPr="00E67A76">
        <w:rPr>
          <w:rFonts w:ascii="Arial" w:eastAsia="Arial" w:hAnsi="Arial" w:cs="Arial"/>
          <w:noProof/>
          <w:lang w:val="tr-TR"/>
        </w:rPr>
        <w:drawing>
          <wp:anchor distT="57150" distB="57150" distL="57150" distR="57150" simplePos="0" relativeHeight="251659264" behindDoc="0" locked="0" layoutInCell="1" allowOverlap="1" wp14:anchorId="1846C3FF" wp14:editId="6DD9D7D0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29E5FB12" w14:textId="77777777" w:rsidR="00B75912" w:rsidRPr="00E67A76" w:rsidRDefault="008143E7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sz w:val="28"/>
          <w:szCs w:val="28"/>
          <w:lang w:val="tr-TR"/>
        </w:rPr>
      </w:pPr>
      <w:r w:rsidRPr="00E67A76">
        <w:rPr>
          <w:rFonts w:ascii="Arial" w:hAnsi="Arial"/>
          <w:color w:val="535353"/>
          <w:sz w:val="28"/>
          <w:szCs w:val="28"/>
          <w:u w:color="535353"/>
          <w:lang w:val="tr-TR"/>
        </w:rPr>
        <w:t>Basın Bülteni</w:t>
      </w:r>
      <w:r w:rsidRPr="00E67A76">
        <w:rPr>
          <w:rFonts w:ascii="Arial" w:eastAsia="Arial" w:hAnsi="Arial" w:cs="Arial"/>
          <w:noProof/>
          <w:sz w:val="28"/>
          <w:szCs w:val="28"/>
          <w:lang w:val="tr-TR"/>
        </w:rPr>
        <mc:AlternateContent>
          <mc:Choice Requires="wps">
            <w:drawing>
              <wp:inline distT="0" distB="0" distL="0" distR="0" wp14:anchorId="59394005" wp14:editId="0459EA98">
                <wp:extent cx="5756786" cy="18454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6" cy="18454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396AEC31">
              <v:rect id="_x0000_s1026" style="visibility:visible;width:453.3pt;height:1.5pt;">
                <v:fill type="solid" color="#A0A0A0" opacity="100.0%"/>
                <v:stroke on="f" weight="1.0pt" linestyle="single" miterlimit="400.0%" joinstyle="miter" endcap="flat" dashstyle="solid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76DD9A55" w14:textId="77777777" w:rsidR="00B75912" w:rsidRPr="00E67A76" w:rsidRDefault="00B75912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lang w:val="tr-TR"/>
        </w:rPr>
      </w:pPr>
    </w:p>
    <w:p w14:paraId="2E76A2F2" w14:textId="43B808BA" w:rsidR="00B75912" w:rsidRPr="00E67A76" w:rsidRDefault="008143E7">
      <w:pPr>
        <w:pStyle w:val="Default"/>
        <w:tabs>
          <w:tab w:val="center" w:pos="4536"/>
          <w:tab w:val="right" w:pos="9046"/>
        </w:tabs>
        <w:jc w:val="right"/>
        <w:rPr>
          <w:rFonts w:ascii="Arial" w:eastAsia="Arial" w:hAnsi="Arial" w:cs="Arial"/>
          <w:lang w:val="tr-TR"/>
        </w:rPr>
      </w:pPr>
      <w:r>
        <w:rPr>
          <w:rFonts w:ascii="Arial" w:hAnsi="Arial"/>
          <w:lang w:val="tr-TR"/>
        </w:rPr>
        <w:t xml:space="preserve">10 </w:t>
      </w:r>
      <w:r w:rsidRPr="00E67A76">
        <w:rPr>
          <w:rFonts w:ascii="Arial" w:hAnsi="Arial"/>
          <w:lang w:val="tr-TR"/>
        </w:rPr>
        <w:t>Haziran 2025</w:t>
      </w:r>
    </w:p>
    <w:p w14:paraId="1855DF54" w14:textId="77777777" w:rsidR="00B75912" w:rsidRPr="00E67A76" w:rsidRDefault="00B75912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  <w:lang w:val="tr-TR"/>
        </w:rPr>
      </w:pPr>
    </w:p>
    <w:p w14:paraId="3B874AC1" w14:textId="77777777" w:rsidR="008143E7" w:rsidRDefault="008143E7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hAnsi="Arial"/>
          <w:noProof/>
          <w:sz w:val="48"/>
          <w:szCs w:val="48"/>
          <w:lang w:val="tr-TR"/>
        </w:rPr>
      </w:pPr>
    </w:p>
    <w:p w14:paraId="2D53658F" w14:textId="77777777" w:rsidR="008143E7" w:rsidRDefault="008143E7" w:rsidP="008143E7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hAnsi="Arial"/>
          <w:sz w:val="48"/>
          <w:szCs w:val="48"/>
          <w:lang w:val="tr-TR"/>
        </w:rPr>
      </w:pPr>
      <w:r w:rsidRPr="00E67A76">
        <w:rPr>
          <w:rFonts w:ascii="Arial" w:hAnsi="Arial"/>
          <w:sz w:val="48"/>
          <w:szCs w:val="48"/>
          <w:lang w:val="tr-TR"/>
        </w:rPr>
        <w:t>VitrA Infinite ile kesintisiz yüzeyler, zamansız mekanlar</w:t>
      </w:r>
    </w:p>
    <w:p w14:paraId="72F7EF9E" w14:textId="77777777" w:rsidR="008143E7" w:rsidRPr="00E67A76" w:rsidRDefault="008143E7" w:rsidP="008143E7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hAnsi="Arial"/>
          <w:sz w:val="48"/>
          <w:szCs w:val="48"/>
          <w:lang w:val="tr-TR"/>
        </w:rPr>
      </w:pPr>
    </w:p>
    <w:p w14:paraId="1991B80E" w14:textId="379EA0F1" w:rsidR="00B75912" w:rsidRPr="00E67A76" w:rsidRDefault="000A3B0E" w:rsidP="008143E7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jc w:val="center"/>
        <w:rPr>
          <w:rFonts w:ascii="Arial" w:eastAsia="Arial" w:hAnsi="Arial" w:cs="Arial"/>
          <w:sz w:val="48"/>
          <w:szCs w:val="48"/>
          <w:lang w:val="tr-TR"/>
        </w:rPr>
      </w:pPr>
      <w:r w:rsidRPr="00E67A76">
        <w:rPr>
          <w:rFonts w:ascii="Arial" w:hAnsi="Arial"/>
          <w:noProof/>
          <w:sz w:val="48"/>
          <w:szCs w:val="48"/>
          <w:lang w:val="tr-TR"/>
        </w:rPr>
        <w:drawing>
          <wp:inline distT="0" distB="0" distL="0" distR="0" wp14:anchorId="0B6AEA31" wp14:editId="00904E88">
            <wp:extent cx="3632200" cy="2267616"/>
            <wp:effectExtent l="0" t="0" r="6350" b="0"/>
            <wp:docPr id="1856629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593" cy="2275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7A76">
        <w:rPr>
          <w:rFonts w:ascii="Arial" w:hAnsi="Arial"/>
          <w:sz w:val="48"/>
          <w:szCs w:val="48"/>
          <w:lang w:val="tr-TR"/>
        </w:rPr>
        <w:br/>
      </w:r>
    </w:p>
    <w:p w14:paraId="064EB846" w14:textId="77777777" w:rsidR="00B75912" w:rsidRPr="00E67A76" w:rsidRDefault="008143E7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eastAsia="Arial" w:hAnsi="Arial" w:cs="Arial"/>
          <w:b/>
          <w:bCs/>
          <w:i/>
          <w:iCs/>
          <w:sz w:val="28"/>
          <w:szCs w:val="28"/>
          <w:lang w:val="tr-TR"/>
        </w:rPr>
      </w:pPr>
      <w:r w:rsidRPr="00E67A76">
        <w:rPr>
          <w:rFonts w:ascii="Arial" w:hAnsi="Arial"/>
          <w:b/>
          <w:bCs/>
          <w:i/>
          <w:iCs/>
          <w:sz w:val="26"/>
          <w:szCs w:val="26"/>
          <w:lang w:val="tr-TR"/>
        </w:rPr>
        <w:t>VitrA, yaşam alanlarına ferahlık ve bütünlük kazandıran büyük ebat karo portföyü Infinite’i genişletti. 120x120 cm ölçüsündeki ürünlerin ardından, 2025 koleksiyonlarıyla birlikte 120x280 cm ebat seçeneği de portföye eklendi.</w:t>
      </w:r>
    </w:p>
    <w:p w14:paraId="14FFF7F9" w14:textId="77777777" w:rsidR="00B75912" w:rsidRPr="0088731D" w:rsidRDefault="00B75912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eastAsia="Arial" w:hAnsi="Arial" w:cs="Arial"/>
          <w:sz w:val="24"/>
          <w:szCs w:val="24"/>
          <w:lang w:val="tr-TR"/>
        </w:rPr>
      </w:pPr>
    </w:p>
    <w:p w14:paraId="3AD8DB2E" w14:textId="50A291E0" w:rsidR="00B75912" w:rsidRPr="00E67A76" w:rsidRDefault="008143E7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eastAsia="Arial" w:hAnsi="Arial" w:cs="Arial"/>
          <w:lang w:val="tr-TR"/>
        </w:rPr>
      </w:pPr>
      <w:r w:rsidRPr="00E67A76">
        <w:rPr>
          <w:lang w:val="tr-TR"/>
        </w:rPr>
        <w:t xml:space="preserve">VitrA’nın </w:t>
      </w:r>
      <w:r w:rsidRPr="00E67A76">
        <w:rPr>
          <w:rFonts w:ascii="Arial" w:hAnsi="Arial"/>
          <w:lang w:val="tr-TR"/>
        </w:rPr>
        <w:t>yeni 120x280 cm Infinite ebat portföyü, yalnızca görsel olarak etkileyici yüzeyler sunmakla kalmıyor. 6 mm inceliğiyle mimari uygulamalarda da büyük kolaylık sağlıyor. İnce yapısına rağmen kırılmaya dayanımlı ürünler hem estetik hem de teknik açıdan güçlü bir çözüm sunuyor.</w:t>
      </w:r>
    </w:p>
    <w:p w14:paraId="2C5D57BE" w14:textId="77777777" w:rsidR="00B75912" w:rsidRPr="00E67A76" w:rsidRDefault="00B75912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eastAsia="Arial" w:hAnsi="Arial" w:cs="Arial"/>
          <w:lang w:val="tr-TR"/>
        </w:rPr>
      </w:pPr>
    </w:p>
    <w:p w14:paraId="13FBDA4F" w14:textId="35E6DBA6" w:rsidR="00B75912" w:rsidRPr="00E67A76" w:rsidRDefault="008143E7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eastAsia="Arial" w:hAnsi="Arial" w:cs="Arial"/>
          <w:lang w:val="tr-TR"/>
        </w:rPr>
      </w:pPr>
      <w:r w:rsidRPr="00E67A76">
        <w:rPr>
          <w:rFonts w:ascii="Arial" w:hAnsi="Arial"/>
          <w:lang w:val="tr-TR"/>
        </w:rPr>
        <w:t xml:space="preserve">CementEra, Novatone, Naturalux ve Marbleart serileriyle birlikte sunulan Infinite ebat portföyü; </w:t>
      </w:r>
      <w:r w:rsidR="00E67A76" w:rsidRPr="00E67A76">
        <w:rPr>
          <w:rFonts w:ascii="Arial" w:hAnsi="Arial"/>
          <w:lang w:val="tr-TR"/>
        </w:rPr>
        <w:t xml:space="preserve">beton, taş ve mermer gibi doğal dokuları içeren 18 farklı yüzey görünümünü büyük ölçeklere yansıtarak </w:t>
      </w:r>
      <w:r w:rsidRPr="00E67A76">
        <w:rPr>
          <w:rFonts w:ascii="Arial" w:hAnsi="Arial"/>
          <w:lang w:val="tr-TR"/>
        </w:rPr>
        <w:t>mekanlara zamansız bir karakter kazandırıyor. Derz kullanımını en aza indirerek kesintisiz bir yüzey etkisi yaratan VitrA Infinite portföyü, tasarım bütünlüğü ve sadelik açısından ideal bir seçenek oluşturuyor.</w:t>
      </w:r>
    </w:p>
    <w:p w14:paraId="3FF2CAB6" w14:textId="77777777" w:rsidR="00B75912" w:rsidRPr="00E67A76" w:rsidRDefault="00B75912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eastAsia="Arial" w:hAnsi="Arial" w:cs="Arial"/>
          <w:lang w:val="tr-TR"/>
        </w:rPr>
      </w:pPr>
    </w:p>
    <w:p w14:paraId="46AE2788" w14:textId="70C63FF3" w:rsidR="00210292" w:rsidRPr="00E67A76" w:rsidRDefault="008143E7" w:rsidP="00210292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lang w:val="tr-TR"/>
        </w:rPr>
      </w:pPr>
      <w:r w:rsidRPr="00E67A76">
        <w:rPr>
          <w:rFonts w:ascii="Arial" w:hAnsi="Arial"/>
          <w:lang w:val="tr-TR"/>
        </w:rPr>
        <w:t>Çizilmeye, ısıya, aleve, suya, UV ışınlarına, darbelere ve kimyasallara karşı yüksek dayanıklılık sunan porselen bünyedeki yeni 120x280 cm ebatlı Infinite karolar</w:t>
      </w:r>
      <w:r w:rsidR="00E67A76">
        <w:rPr>
          <w:rFonts w:ascii="Arial" w:hAnsi="Arial"/>
          <w:lang w:val="tr-TR"/>
        </w:rPr>
        <w:t xml:space="preserve"> </w:t>
      </w:r>
      <w:r w:rsidRPr="00E67A76">
        <w:rPr>
          <w:rFonts w:ascii="Arial" w:hAnsi="Arial"/>
          <w:lang w:val="tr-TR"/>
        </w:rPr>
        <w:t>hem iç hem dış mekanlarda uzun ömürlü bir kullanım vaat ediyor.</w:t>
      </w:r>
    </w:p>
    <w:sectPr w:rsidR="00210292" w:rsidRPr="00E67A76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43026" w14:textId="77777777" w:rsidR="003824FD" w:rsidRDefault="003824FD">
      <w:r>
        <w:separator/>
      </w:r>
    </w:p>
  </w:endnote>
  <w:endnote w:type="continuationSeparator" w:id="0">
    <w:p w14:paraId="5775B6A9" w14:textId="77777777" w:rsidR="003824FD" w:rsidRDefault="0038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3723" w14:textId="77777777" w:rsidR="00B75912" w:rsidRDefault="008143E7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3F13253D" w14:textId="77777777" w:rsidR="00B75912" w:rsidRDefault="008143E7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5C8861BC" w14:textId="77777777" w:rsidR="00B75912" w:rsidRDefault="00B75912">
    <w:pPr>
      <w:pStyle w:val="Body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</w:t>
      </w:r>
    </w:hyperlink>
    <w:r>
      <w:rPr>
        <w:rFonts w:ascii="Arial" w:hAnsi="Arial"/>
        <w:sz w:val="16"/>
        <w:szCs w:val="16"/>
      </w:rPr>
      <w:t xml:space="preserve"> | </w:t>
    </w:r>
    <w:r>
      <w:rPr>
        <w:rFonts w:ascii="Arial" w:hAnsi="Arial"/>
        <w:sz w:val="16"/>
        <w:szCs w:val="16"/>
        <w:u w:val="single"/>
      </w:rPr>
      <w:t>vitrakaro.iletisim@vitra.com.tr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0A543" w14:textId="77777777" w:rsidR="003824FD" w:rsidRDefault="003824FD">
      <w:r>
        <w:separator/>
      </w:r>
    </w:p>
  </w:footnote>
  <w:footnote w:type="continuationSeparator" w:id="0">
    <w:p w14:paraId="3F48039D" w14:textId="77777777" w:rsidR="003824FD" w:rsidRDefault="00382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3DDEC" w14:textId="77777777" w:rsidR="00B75912" w:rsidRDefault="00B75912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912"/>
    <w:rsid w:val="000A3B0E"/>
    <w:rsid w:val="000E1986"/>
    <w:rsid w:val="000E7573"/>
    <w:rsid w:val="00210292"/>
    <w:rsid w:val="002F3509"/>
    <w:rsid w:val="003824FD"/>
    <w:rsid w:val="00523250"/>
    <w:rsid w:val="008143E7"/>
    <w:rsid w:val="0088731D"/>
    <w:rsid w:val="008C2F66"/>
    <w:rsid w:val="009C5598"/>
    <w:rsid w:val="00B27727"/>
    <w:rsid w:val="00B75912"/>
    <w:rsid w:val="00C15B53"/>
    <w:rsid w:val="00C4524B"/>
    <w:rsid w:val="00C91F47"/>
    <w:rsid w:val="00E67A76"/>
    <w:rsid w:val="00F07A68"/>
    <w:rsid w:val="0F19C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A75B8"/>
  <w15:docId w15:val="{ADF030E1-9563-4220-8E2D-E50BBB062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FF"/>
      <w:sz w:val="16"/>
      <w:szCs w:val="16"/>
      <w:u w:val="single" w:color="0000FF"/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:lang w:val="da-DK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0A3B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tra.com.tr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Company>Eczacibasi Holding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8</cp:revision>
  <dcterms:created xsi:type="dcterms:W3CDTF">2025-05-29T05:47:00Z</dcterms:created>
  <dcterms:modified xsi:type="dcterms:W3CDTF">2025-06-10T11:30:00Z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172f87-cade-465f-a420-0e0aca9f96db_Enabled">
    <vt:lpwstr>true</vt:lpwstr>
  </property>
  <property fmtid="{D5CDD505-2E9C-101B-9397-08002B2CF9AE}" pid="3" name="MSIP_Label_8b172f87-cade-465f-a420-0e0aca9f96db_SetDate">
    <vt:lpwstr>2025-05-29T05:47:53Z</vt:lpwstr>
  </property>
  <property fmtid="{D5CDD505-2E9C-101B-9397-08002B2CF9AE}" pid="4" name="MSIP_Label_8b172f87-cade-465f-a420-0e0aca9f96db_Method">
    <vt:lpwstr>Privileged</vt:lpwstr>
  </property>
  <property fmtid="{D5CDD505-2E9C-101B-9397-08002B2CF9AE}" pid="5" name="MSIP_Label_8b172f87-cade-465f-a420-0e0aca9f96db_Name">
    <vt:lpwstr>Kuruluş İçi</vt:lpwstr>
  </property>
  <property fmtid="{D5CDD505-2E9C-101B-9397-08002B2CF9AE}" pid="6" name="MSIP_Label_8b172f87-cade-465f-a420-0e0aca9f96db_SiteId">
    <vt:lpwstr>8d43ffbc-a57a-4d9e-8505-d5f18d7eac9b</vt:lpwstr>
  </property>
  <property fmtid="{D5CDD505-2E9C-101B-9397-08002B2CF9AE}" pid="7" name="MSIP_Label_8b172f87-cade-465f-a420-0e0aca9f96db_ActionId">
    <vt:lpwstr>d84a31c0-4aeb-4aea-88ba-fc1085207dea</vt:lpwstr>
  </property>
  <property fmtid="{D5CDD505-2E9C-101B-9397-08002B2CF9AE}" pid="8" name="MSIP_Label_8b172f87-cade-465f-a420-0e0aca9f96db_ContentBits">
    <vt:lpwstr>0</vt:lpwstr>
  </property>
  <property fmtid="{D5CDD505-2E9C-101B-9397-08002B2CF9AE}" pid="9" name="MSIP_Label_8b172f87-cade-465f-a420-0e0aca9f96db_Tag">
    <vt:lpwstr>10, 0, 1, 1</vt:lpwstr>
  </property>
</Properties>
</file>